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NSGKdrV — Ausnahmen und Befreiungen</w:t>
      </w:r>
    </w:p>
    <w:p>
      <w:r>
        <w:rPr>
          <w:color w:val="555555"/>
          <w:sz w:val="18"/>
        </w:rPr>
        <w:t xml:space="preserve">Verordnung über die Festsetzung des Naturschutzgebietes „Kadetrinne“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Verboten des § 4 Absatz 1 und 2 kann das Bundesamt für Naturschutz im Einzelfall auf Antrag eine Ausnahme erteilen, soweit die Handlung nach § 34 Absatz 2 des Bundesnaturschutzgesetzes nicht zu erheblichen Beeinträchtigungen der für den Schutzzweck nach § 3 Absatz 3 bis 5 maßgeblichen Bestandteile des Gebietes führen kann.</w:t>
      </w:r>
    </w:p>
    <w:p>
      <w:r>
        <w:t xml:space="preserve">(2) Von den Verboten des § 4 Absatz 1 und 2 kann das Bundesamt für Naturschutz auf Antrag nach Maßgabe des § 67 des Bundesnaturschutzgesetzes eine Befreiung gewähren.</w:t>
      </w:r>
    </w:p>
    <w:p>
      <w:r>
        <w:rPr>
          <w:color w:val="555555"/>
          <w:sz w:val="17"/>
        </w:rPr>
        <w:t xml:space="preserve">Zitiervorschlag: § 6 NSGKdrV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https://recht.nulegal.eu/gesetze/NSGKdrV/6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