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NSGFmbV</w:t>
      </w:r>
    </w:p>
    <w:p>
      <w:r>
        <w:rPr>
          <w:color w:val="555555"/>
          <w:sz w:val="18"/>
        </w:rPr>
        <w:t xml:space="preserve">Verordnung über die Festsetzung des Naturschutzgebietes „Fehmarnbelt“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57 Absatz 2 in Verbindung mit Absatz 1 und 3, § 56 Absatz 1, § 32 Absatz 2 und 3, § 20 Absatz 2, § 22 Absatz 1 sowie § 23 Absatz 1 und Absatz 2 Satz 1 des Bundesnaturschutzgesetzes vom 29. Juli 2009 (BGBl. I S. 2542), von denen § 57 Absatz 2 durch Artikel 421 Nummer 7 der Verordnung vom 31. August 2015 (BGBl. I S. 1474) geändert worden ist, verordnet das Bundesministerium für Umwelt, Naturschutz, Bau und Reaktorsicherheit:</w:t>
      </w:r>
    </w:p>
    <w:p>
      <w:r>
        <w:rPr>
          <w:color w:val="555555"/>
          <w:sz w:val="17"/>
        </w:rPr>
        <w:t xml:space="preserve">Zitiervorschlag: Eingangsformel NSGFmbV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https://recht.nulegal.eu/gesetze/NSGFmbV/eingangsformel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