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NSGDgbV</w:t>
      </w:r>
    </w:p>
    <w:p>
      <w:r>
        <w:rPr>
          <w:color w:val="555555"/>
          <w:sz w:val="18"/>
        </w:rPr>
        <w:t xml:space="preserve">Verordnung über die Festsetzung des Naturschutzgebietes „Doggerbank“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57 Absatz 2 in Verbindung mit Absatz 1 und 3, § 56 Absatz 1, § 32 Absatz 2 und 3, § 20 Absatz 2, § 22 Absatz 1 sowie § 23 Absatz 1 und Absatz 2 Satz 1 des Bundesnaturschutzgesetzes vom 29. Juli 2009 (BGBl. I S. 2542), von denen § 57 Absatz 2 durch Artikel 421 Nummer 7 der Verordnung vom 31. August 2015 (BGBl. I S. 1474) geändert worden ist, verordnet das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NSGDgbV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https://recht.nulegal.eu/gesetze/NSGDgbV/eingangsformel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