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NSGBefV</w:t>
      </w:r>
    </w:p>
    <w:p>
      <w:r>
        <w:rPr>
          <w:color w:val="555555"/>
          <w:sz w:val="18"/>
        </w:rPr>
        <w:t xml:space="preserve">Naturschutzgebietsbefahrensverordnung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Satz 3 des Bundeswasserstraßengesetzes vom 2. April 1968 (BGBl. II S. 173), der durch § 36 Nr. 1 des Gesetzes vom 20. Dezember 1976 (BGBl. I S. 3574) eingefügt worden ist, wird im Einvernehmen mit dem Bundesminister für Umwelt, Naturschutz und Reaktorsicherheit verordnet:</w:t>
      </w:r>
    </w:p>
    <w:p>
      <w:r>
        <w:rPr>
          <w:color w:val="555555"/>
          <w:sz w:val="17"/>
        </w:rPr>
        <w:t xml:space="preserve">Zitiervorschlag: Eingangsformel NSGBefV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https://recht.nulegal.eu/gesetze/NSGBefV/eingangsformel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