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NSGBefV</w:t>
      </w:r>
    </w:p>
    <w:p>
      <w:r>
        <w:rPr>
          <w:color w:val="555555"/>
          <w:sz w:val="18"/>
        </w:rPr>
        <w:t xml:space="preserve">Naturschutzgebietsbefahrensverordnung</w:t>
      </w:r>
    </w:p>
    <w:p>
      <w:r>
        <w:rPr>
          <w:color w:val="555555"/>
          <w:sz w:val="18"/>
        </w:rPr>
        <w:t xml:space="preserve">Stand: 16.11.2019 (konsolidierte Textfassung, kein amtliches Inkrafttretensdatum)</w:t>
      </w:r>
    </w:p>
    <w:p>
      <w:r>
        <w:t xml:space="preserve">Ordnungswidrig im Sinne des § 50 Absatz 1 Nummer 2 des Bundeswasserstraßengesetzes handelt, wer vorsätzlich oder fahrlässig</w:t>
      </w:r>
    </w:p>
    <w:p>
      <w:pPr>
        <w:ind w:left="420"/>
      </w:pPr>
      <w:r>
        <w:t xml:space="preserve">1. entgegen § 2 Absatz 1 Satz 1 Nummer 1, 3 bis 5 oder 6, Absatz 1a Satz 1, Absatz 2, 3 Satz 1 Nummer 1 oder 2, auch in Verbindung mit Satz 2, Absatz 4, 5 Satz 1, Absatz 6 Satz 1 oder Absatz 7 Satz 1 einen dort genannten Bereich befährt,</w:t>
      </w:r>
    </w:p>
    <w:p>
      <w:pPr>
        <w:ind w:left="420"/>
      </w:pPr>
      <w:r>
        <w:t xml:space="preserve">2. entgegen § 2 Absatz 3 Satz 2 an dem dort bezeichneten Parallelwerk anhält oder stillliegt,</w:t>
      </w:r>
    </w:p>
    <w:p>
      <w:pPr>
        <w:ind w:left="420"/>
      </w:pPr>
      <w:r>
        <w:t xml:space="preserve">3. entgegen § 2 Absatz 5 Satz 4 den vorgeschriebenen Mindestabstand nicht einhält oder</w:t>
      </w:r>
    </w:p>
    <w:p>
      <w:pPr>
        <w:ind w:left="420"/>
      </w:pPr>
      <w:r>
        <w:t xml:space="preserve">4. entgegen § 4 Satz 1 die zulässige Höchstgeschwindigkeit überschreitet.</w:t>
      </w:r>
    </w:p>
    <w:p>
      <w:r>
        <w:rPr>
          <w:color w:val="555555"/>
          <w:sz w:val="17"/>
        </w:rPr>
        <w:t xml:space="preserve">Zitiervorschlag: § 7 NSGBefV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https://recht.nulegal.eu/gesetze/NSGBefV/7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NSGBefV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