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NSGBefV</w:t>
      </w:r>
    </w:p>
    <w:p>
      <w:r>
        <w:rPr>
          <w:color w:val="555555"/>
          <w:sz w:val="18"/>
        </w:rPr>
        <w:t xml:space="preserve">Naturschutzgebietsbefahrensverordnung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das Befahren der in § 2 genannten Wasserflächen mit Wasserfahrzeugen mit Maschinenantrieb zulässig ist, dürfen diese eine Höchstgeschwindigkeit gegenüber dem Ufer von 6 km je Stunde nicht überschreiten. Satz 1 gilt nicht, soweit in der Talfahrt zur Erhaltung der Steuerungsfähigkeit eine höhere Geschwindigkeit erforderlich ist.</w:t>
      </w:r>
    </w:p>
    <w:p>
      <w:r>
        <w:rPr>
          <w:color w:val="555555"/>
          <w:sz w:val="17"/>
        </w:rPr>
        <w:t xml:space="preserve">Zitiervorschlag: § 4 NSGBefV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https://recht.nulegal.eu/gesetze/NSGBefV/4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