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NS-VEntschG — Anrechnung einer erhaltenen Gegenleistung oder einer Entschädigung</w:t>
      </w:r>
    </w:p>
    <w:p>
      <w:r>
        <w:rPr>
          <w:color w:val="555555"/>
          <w:sz w:val="18"/>
        </w:rPr>
        <w:t xml:space="preserve">NS-Verfolgtenentschädigungsgesetz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6 und 8 des Entschädigungsgesetzes und § 7a Abs. 2 des Vermögensgesetzes gelten entsprechend. Ebenfalls anzurechnen sind Entschädigungsleistungen nach den §§ 51 und 56 Abs. 1 Satz 1 des Bundesentschädigungsgesetzes, die mit dem nach diesem Gesetz zu entschädigenden Vermögenswert unmittelbar in Zusammenhang stehen, mit der Maßgabe, dass sich der Anrechnungsbetrag ohne darin enthaltene Zinsen oder Zinszuschläge um 2 vom Hundert jährlich ab Zahlung der Entschädigung bis zum Inkrafttreten dieses Gesetzes erhöht.</w:t>
      </w:r>
    </w:p>
    <w:p>
      <w:r>
        <w:rPr>
          <w:color w:val="555555"/>
          <w:sz w:val="17"/>
        </w:rPr>
        <w:t xml:space="preserve">Zitiervorschlag: § 3 NS-VEntschG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https://recht.nulegal.eu/gesetze/NS-VEntschG/3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