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NS-AufhG</w:t>
      </w:r>
    </w:p>
    <w:p>
      <w:r>
        <w:rPr>
          <w:color w:val="555555"/>
          <w:sz w:val="18"/>
        </w:rPr>
        <w:t xml:space="preserve">Gesetz zur Aufhebung nationalsozialistischer Unrechtsurteile in der Strafrechtspflege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Entscheidung in Fällen des § 3 nicht vollständig aufgehoben, so wird auf Antrag der Teil der Entscheidung aufgehoben, für den die Voraussetzungen des § 1 Satz 1, auch in Verbindung mit § 2, vorliegen.</w:t>
      </w:r>
    </w:p>
    <w:p>
      <w:r>
        <w:t xml:space="preserve">(2) Über den Antrag entscheidet das Landgericht durch unanfechtbaren Beschluß.</w:t>
      </w:r>
    </w:p>
    <w:p>
      <w:r>
        <w:rPr>
          <w:color w:val="555555"/>
          <w:sz w:val="17"/>
        </w:rPr>
        <w:t xml:space="preserve">Zitiervorschlag: § 4 NS-AufhG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https://recht.nulegal.eu/gesetze/NS-AufhG/4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