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NS-AufhG</w:t>
      </w:r>
    </w:p>
    <w:p>
      <w:r>
        <w:rPr>
          <w:color w:val="555555"/>
          <w:sz w:val="18"/>
        </w:rPr>
        <w:t xml:space="preserve">Gesetz zur Aufhebung nationalsozialistischer Unrechtsurteile in der Strafrechtspflege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eine Entscheidung auf die Verletzung mehrerer Strafvorschriften gestützt und liegen die Voraussetzungen des § 1 Satz 1, auch in Verbindung mit § 2, nur hinsichtlich eines Teiles der Entscheidung vor, so wird die Entscheidung insgesamt aufgehoben, sofern der Teil der Entscheidung, der die Voraussetzung des § 1 Satz 1, auch in Verbindung mit § 2, erfüllt, nicht von untergeordneter Bedeutung ist.</w:t>
      </w:r>
    </w:p>
    <w:p>
      <w:r>
        <w:t xml:space="preserve">(2) Erscheint nach Lage des Falles zweifelhaft, ob die Voraussetzungen des Absatzes 1 vorliegen, so ist die dem Täter günstigere Auslegung zugrunde zu legen.</w:t>
      </w:r>
    </w:p>
    <w:p>
      <w:r>
        <w:rPr>
          <w:color w:val="555555"/>
          <w:sz w:val="17"/>
        </w:rPr>
        <w:t xml:space="preserve">Zitiervorschlag: § 3 NS-AufhG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https://recht.nulegal.eu/gesetze/NS-AufhG/3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NS-AufhG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