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7 NRWBayWPrVersWStV (Bayern)</w:t>
      </w:r>
    </w:p>
    <w:p>
      <w:r>
        <w:rPr>
          <w:color w:val="555555"/>
          <w:sz w:val="18"/>
        </w:rPr>
        <w:t xml:space="preserve">Staatsvertrag zwischen dem Freistaat Bayern und dem Land Nordrhein-Westfalen über die Zugehörigkeit der Wirtschaftsprüfer und vereidigten Buchprüfer des Freistaates Bayern zum Versorgungswerk der Wirtschaftsprüfer und der vereidigten Buchprüfer im Lande Nordrhein-Westfalen Vom 6./8. Oktober 1999</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Staatsvertrag kann von jedem vertragschließenden Teil mit einer Frist von fünf Jahren zum Ablauf eines Kalenderjahres gekündigt werden. Vor Ablauf von zehn Jahren nach In-Kraft-Treten dieses Staatsvertrags ist eine Kündigung ausgeschlossen. Abweichend von Satz 1 kann der Freistaat Bayern den Staatsvertrag mit einer Frist von einem Jahr kündigen, wenn die Bestimmungen des Gesetzes über die Versorgung der Wirtschaftsprüfer und der vereidigten Buchprüfer im Land Nordrhein-Westfalen (WPVG NW) vom 6. Juli 1993 (GV. NW. S. 418) gegenüber der beim In-Kraft-Treten dieses Staatsvertrages geltenden Fassung wesentlich geändert werden. Eine wesentliche Änderung ist anzunehmen, wenn die Bestimmungen zur Aufgabe des Versorgungswerkes, zur Mitgliedschaft und Beitragspflicht der Mitglieder oder zu den Leistungen des Versorgungswerkes nicht nur unerheblich geändert werden.</w:t>
      </w:r>
    </w:p>
    <w:p>
      <w:r>
        <w:t xml:space="preserve">(2) Im Fall der Kündigung übernimmt ein durch den Freistaat Bayern innerhalb der Kündigungsfrist zu bestimmender Rechtsträger als Gesamtrechtsnachfolger die Mitglieder und sonstigen Leistungsberechtigten nach Artikel 1 Abs. 1 dieses Staatsvertrags. Auf diesen Rechtsträger gehen alle Rechte und Pflichten des Versorgungswerkes der Wirtschaftsprüfer und der vereidigten Buchprüfer im Lande Nordrhein-Westfalen gegenüber den übernommenen Mitgliedern und sonstigen Leistungsberechtigten über.</w:t>
      </w:r>
    </w:p>
    <w:p>
      <w:r>
        <w:t xml:space="preserve">(3) Im Fall der Kündigung findet eine Auseinandersetzung des Vermögens nach versicherungsmathematischen Grundsätzen statt, wobei die im Zeitpunkt des Wirksamwerdens der Kündigung im technischen Geschäftsplan festgelegten Rechnungsgrundlagen maßgebend sind. Das zu verteilende Vermögen ergibt sich aus einer Auseinandersetzungsbilanz, wobei Verkehrswerte zugrunde zu legen sind. Von der Summe der aktiven Vermögenswerte ist die Summe der nichtversicherungstechnischen Verbindlichkeiten abzuziehen. Das so ermittelte Vermögen ist nach dem Verhältnis der auf den ausscheidenden Teilbestand treffenden versicherungstechnischen Verbindlichkeiten zu den versicherungstechnischen Verbindlichkeiten des verbleibenden Bestandes aufzuteilen; soweit nichtversicherungstechnische Verbindlichkeiten von dem Gesamtrechtsnachfolger übernommen werden, sind ihm die entsprechenden Deckungsmittel zu überlassen. Bei der Verteilung des Vermögens sind die im Freistaat Bayern angelegten Vermögenswerte auf Verlangen an den Gesamtrechtsnachfolger zu übertragen. Bei den übrigen Vermögenswerten ist das Versorgungswerk der Wirtschaftsprüfer und der vereidigten Buchprüfer im Lande Nordrhein-Westfalen berechtigt, Wertpapiere und Grundbesitz in Geldwert abzulösen.</w:t>
      </w:r>
    </w:p>
    <w:p>
      <w:r>
        <w:t xml:space="preserve">(4) Die Auseinandersetzung des Vermögens bedarf der versicherungsaufsichtsrechtlichen Genehmigung durch das Finanzministerium des Landes Nordrhein-Westfalen. Zuvor ist das Einvernehmen mit dem Bayerischen Staatsministerium für Wirtschaft, Verkehr und Technologie herzustellen.</w:t>
      </w:r>
    </w:p>
    <w:p>
      <w:r>
        <w:rPr>
          <w:color w:val="555555"/>
          <w:sz w:val="17"/>
        </w:rPr>
        <w:t xml:space="preserve">Zitiervorschlag: Art 7 NRWBayWPrVersWStV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https://recht.nulegal.eu/gesetze/NRWBayWPrVersWStV/7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7 NRWBayWPrVersWStV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