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NRWBayWPrVersWStV (Bayern) — Verjährung</w:t>
      </w:r>
    </w:p>
    <w:p>
      <w:r>
        <w:rPr>
          <w:color w:val="555555"/>
          <w:sz w:val="18"/>
        </w:rPr>
        <w:t xml:space="preserve">Staatsvertrag zwischen dem Freistaat Bayern und dem Land Nordrhein-Westfalen über die Zugehörigkeit der Wirtschaftsprüfer und vereidigten Buchprüfer des Freistaates Bayern zum Versorgungswerk der Wirtschaftsprüfer und der vereidigten Buchprüfer im Lande Nordrhein-Westfalen Vom 6./8. Oktober 1999</w:t>
      </w:r>
    </w:p>
    <w:p>
      <w:r>
        <w:rPr>
          <w:color w:val="555555"/>
          <w:sz w:val="18"/>
        </w:rPr>
        <w:t xml:space="preserve">Landesrecht Bayern</w:t>
      </w:r>
    </w:p>
    <w:p>
      <w:r>
        <w:rPr>
          <w:color w:val="555555"/>
          <w:sz w:val="18"/>
        </w:rPr>
        <w:t xml:space="preserve">Stand: 25.08.2026 (konsolidierte Textfassung, kein amtliches Inkrafttretensdatum)</w:t>
      </w:r>
    </w:p>
    <w:p>
      <w:r>
        <w:t xml:space="preserve">Die satzungsgemäßen Ansprüche auf Leistungen und Beiträge verjähren in vier Jahren. Die Verjährung beginnt mit dem Ablauf des Jahres, in dem der Anspruch fällig geworden ist. Für die Hemmung, die Unterbrechung und die Wirkungen der Verjährung gelten die Vorschriften des Bürgerlichen Gesetzbuches entsprechend.</w:t>
      </w:r>
    </w:p>
    <w:p>
      <w:r>
        <w:rPr>
          <w:color w:val="555555"/>
          <w:sz w:val="17"/>
        </w:rPr>
        <w:t xml:space="preserve">Zitiervorschlag: § 10 NRWBayWPrVersWStV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https://recht.nulegal.eu/gesetze/NRWBayWPrVersWStV/10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NRWBayWPrVersWStV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