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NPVO ZG (Sachsen) — Zulässige Handlungen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§ 7 gilt nicht für</w:t>
      </w:r>
    </w:p>
    <w:p>
      <w:r>
        <w:t xml:space="preserve">1. die dem Schutzzweck entsprechende Bewirtschaftung land- und forstwirtschaftlicher Grundstücke und fischereiwirtschaftlicher Flächen im Sinne von § 1c Abs. 3 und 4 SächsNatSchG ,</w:t>
      </w:r>
    </w:p>
    <w:p>
      <w:r>
        <w:t xml:space="preserve">2. die gesetzeskonforme Ausübung der Jagd,</w:t>
      </w:r>
    </w:p>
    <w:p>
      <w:r>
        <w:t xml:space="preserve">3. die Errichtung von Wildschutzzäunen an Verkehrswegen sowie von gesetzlich vorgeschriebenen Einzäunungen,</w:t>
      </w:r>
    </w:p>
    <w:p>
      <w:r>
        <w:t xml:space="preserve">4. behördlich angeordnete oder zugelassene Beschilderungen,</w:t>
      </w:r>
    </w:p>
    <w:p>
      <w:r>
        <w:t xml:space="preserve">5. die zur Erhaltung der Funktionsfähigkeit der Schutzzonen notwendigen und von den Naturschutzbehörden angeordneten Überwachungs-, Schutz- und Pflegemaßnahmen,</w:t>
      </w:r>
    </w:p>
    <w:p>
      <w:r>
        <w:t xml:space="preserve">6. die sonstige bisher rechtmäßig ausgeübte Nutzung der Grundstücke, Gewässer, Straßen, Wege, Plätze, Bahn- und Betriebsanlagen der Eisenbahn, Fernmeldeanlagen, Ver- und Entsorgungsanlagen sowie der rechtmäßig bestehenden Einrichtungen in der bisherigen Art und im bisherigen Umfang sowie deren Unterhaltung und Instandsetzung,</w:t>
      </w:r>
    </w:p>
    <w:p>
      <w:r>
        <w:t xml:space="preserve">7. die Errichtung von landwirtschaftlichen Siloanlagen im Bebauungszusammenhang mit bestehenden landwirtschaftlichen Betrieben bis zu einer Höhe von 6 Metern,</w:t>
      </w:r>
    </w:p>
    <w:p>
      <w:r>
        <w:t xml:space="preserve">8. Rohstoffgewinnungen innerhalb der Vorranggebiete Rohstoffsicherung des Regionalplanes.</w:t>
      </w:r>
    </w:p>
    <w:p>
      <w:r>
        <w:t xml:space="preserve">9. die Errichtung von Mobilfunktürmen oder Mobilfunkmasten bis zu einer Gesamthöhe von 50 Metern ab Geländeoberkante in der Schutzzone III.</w:t>
      </w:r>
    </w:p>
    <w:p>
      <w:r>
        <w:rPr>
          <w:color w:val="555555"/>
          <w:sz w:val="17"/>
        </w:rPr>
        <w:t xml:space="preserve">Zitiervorschlag: § 8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