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NPVO ZG (Sachsen) — Inkrafttreten</w:t>
      </w:r>
    </w:p>
    <w:p>
      <w:r>
        <w:rPr>
          <w:color w:val="555555"/>
          <w:sz w:val="18"/>
        </w:rPr>
        <w:t xml:space="preserve">Naturparkverordnung Zittauer 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Ablauf der Auslegungsfrist gemäß § 2 Abs. 4 in Kraft.</w:t>
      </w:r>
    </w:p>
    <w:p>
      <w:r>
        <w:t xml:space="preserve">Dresden, den 4. Dezember 2007</w:t>
      </w:r>
    </w:p>
    <w:p>
      <w:r>
        <w:t xml:space="preserve">Regierungspräsidium Dresden</w:t>
      </w:r>
    </w:p>
    <w:p>
      <w:r>
        <w:t xml:space="preserve">Dr. Hasenpflug</w:t>
      </w:r>
    </w:p>
    <w:p>
      <w:r>
        <w:t xml:space="preserve">Regierungspräsident</w:t>
      </w:r>
    </w:p>
    <w:p>
      <w:r>
        <w:rPr>
          <w:color w:val="555555"/>
          <w:sz w:val="17"/>
        </w:rPr>
        <w:t xml:space="preserve">Zitiervorschlag: § 12 NPVO ZG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https://recht.nulegal.eu/gesetze/NPVO%20ZG/12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