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NPVO ZG (Sachsen) — Besondere Vorschriften</w:t>
      </w:r>
    </w:p>
    <w:p>
      <w:r>
        <w:rPr>
          <w:color w:val="555555"/>
          <w:sz w:val="18"/>
        </w:rPr>
        <w:t xml:space="preserve">Naturparkverordnung Zittauer 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Sonstige naturschutzrechtliche Bestimmungen, insbesondere naturschutzrechtliche Vorschriften über Natura 2000 Gebiete, geschützte Biotope, Naturschutzgebiete, Landschaftsschutzgebiete, Naturdenkmale und geschützte Landschaftsbestandteile, bleiben unberührt.</w:t>
      </w:r>
    </w:p>
    <w:p>
      <w:r>
        <w:rPr>
          <w:color w:val="555555"/>
          <w:sz w:val="17"/>
        </w:rPr>
        <w:t xml:space="preserve">Zitiervorschlag: § 10 NPVO ZG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https://recht.nulegal.eu/gesetze/NPVO%20ZG/10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