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NPNordSBefV</w:t>
      </w:r>
    </w:p>
    <w:p>
      <w:r>
        <w:rPr>
          <w:color w:val="555555"/>
          <w:sz w:val="18"/>
        </w:rPr>
        <w:t xml:space="preserve">Verordnung über das Befahren der Bundeswasserstraßen in Nationalparken im Bereich der Nordsee</w:t>
      </w:r>
    </w:p>
    <w:p>
      <w:r>
        <w:rPr>
          <w:color w:val="555555"/>
          <w:sz w:val="18"/>
        </w:rPr>
        <w:t xml:space="preserve">Historische Fassung: Stand 10.06.2019 bis 25.06.2023. Dies ist nicht die aktuelle Fassung.</w:t>
      </w:r>
    </w:p>
    <w:p>
      <w:r>
        <w:t xml:space="preserve">Die Verkehrsteilnehmer haben sich auf den Bundeswasserstraßen in den Nationalparken so zu verhalten, daß die Tierwelt nicht geschädigt, gefährdet oder mehr, als nach den Umständen unvermeidbar, gestört wird.</w:t>
      </w:r>
    </w:p>
    <w:p>
      <w:r>
        <w:rPr>
          <w:color w:val="555555"/>
          <w:sz w:val="17"/>
        </w:rPr>
        <w:t xml:space="preserve">Zitiervorschlag: § 2 NPNordSBefV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https://recht.nulegal.eu/gesetze/NPNordSBefV/2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