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NPBefVMVK</w:t>
      </w:r>
    </w:p>
    <w:p>
      <w:r>
        <w:rPr>
          <w:color w:val="555555"/>
          <w:sz w:val="18"/>
        </w:rPr>
        <w:t xml:space="preserve">Befahrensregelungsverordnung Küstenbereich Mecklenburg-Vorpommern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Satz 3 des Bundeswasserstraßengesetzes in der Fassung der Bekanntmachung vom 23. August 1990 (BGBl. I S. 1818) verordnet das Bundesministerium für Verkehr im Einvernehmen mit dem Bundesministerium für Umwelt, Naturschutz und Reaktorsicherheit:</w:t>
      </w:r>
    </w:p>
    <w:p>
      <w:r>
        <w:rPr>
          <w:color w:val="555555"/>
          <w:sz w:val="17"/>
        </w:rPr>
        <w:t xml:space="preserve">Zitiervorschlag: Eingangsformel NPBefVMVK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https://recht.nulegal.eu/gesetze/NPBefVMVK/eingangsformel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