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Generaldirektion Wasserstraßen und Schifffahrt kann Befreiungen von den §§ 3 bis 6 gewähren, wenn</w:t>
      </w:r>
    </w:p>
    <w:p>
      <w:pPr>
        <w:ind w:left="420"/>
      </w:pPr>
      <w:r>
        <w:t xml:space="preserve">1. die Einhaltung der Verbote zu einer nicht beabsichtigten Härte führen würde,</w:t>
      </w:r>
    </w:p>
    <w:p>
      <w:pPr>
        <w:ind w:left="420"/>
      </w:pPr>
      <w:r>
        <w:t xml:space="preserve">2. überwiegende Gründe des Wohls der Allgemeinheit die Befreiung erfordern oder</w:t>
      </w:r>
    </w:p>
    <w:p>
      <w:pPr>
        <w:ind w:left="420"/>
      </w:pPr>
      <w:r>
        <w:t xml:space="preserve">3. sie vom Land Mecklenburg-Vorpommern beantragt werden.</w:t>
      </w:r>
    </w:p>
    <w:p>
      <w:r>
        <w:t xml:space="preserve">(2) Eine Befreiung nach Absatz 1 Nr. 1 darf nur gewährt werden, wenn dies mit dem Schutzzweck der Verordnung vereinbar ist. Vor einer Befreiung nach Absatz 1 Nr. 1 und 2 ist der zuständigen Dienststelle des Landes Mecklenburg-Vorpommern Gelegenheit zur Stellungnahme zu geben.</w:t>
      </w:r>
    </w:p>
    <w:p>
      <w:r>
        <w:rPr>
          <w:color w:val="555555"/>
          <w:sz w:val="17"/>
        </w:rPr>
        <w:t xml:space="preserve">Zitiervorschlag: § 7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