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NPBefVMVK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Befahren der Bundeswasserstraßen in den Nationalparken und den Schutzzonen I und II des Biosphärenreservats "Südost-Rügen" mit den in § 1 Abs. 1 genannten Fahrzeugen oder Wassersportgeräten ist unter Beachtung der für die Verkehrsteilnehmer in Absatz 2 festgelegten Verhaltensgrundsätze gestattet, soweit dies in den §§ 3 bis 6 nicht untersagt oder soweit bei Untersagung eine Befreiung nach § 7 gewährt worden ist.</w:t>
      </w:r>
    </w:p>
    <w:p>
      <w:r>
        <w:t xml:space="preserve">(2) Die Verkehrsteilnehmer haben sich auf den Bundeswasserstraßen in den Nationalparken und den Schutzzonen I und II des Biosphärenreservats "Südost-Rügen" so zu verhalten, daß die Tier- und Pflanzenwelt nicht geschädigt, gefährdet oder mehr, als nach den Umständen unvermeidbar, gestört wird.</w:t>
      </w:r>
    </w:p>
    <w:p>
      <w:r>
        <w:rPr>
          <w:color w:val="555555"/>
          <w:sz w:val="17"/>
        </w:rPr>
        <w:t xml:space="preserve">Zitiervorschlag: § 2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