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NPBefVMVK</w:t>
      </w:r>
    </w:p>
    <w:p>
      <w:r>
        <w:rPr>
          <w:color w:val="555555"/>
          <w:sz w:val="18"/>
        </w:rPr>
        <w:t xml:space="preserve">Befahrensregelungsverordnung Küstenbereich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10. Juli 1997 in Kraft. Gleichzeitig treten für den Bereich der Bundeswasserstraßen § 6 Abs. 1 Nr. 18, Abs. 2, § 7 Abs. 1 Nr. 3, § 8 der in § 1 Abs. 1 Nr. 1 genannten Verordnung, § 6 Abs. 1 Nr. 14, § 8 der in § 1 Abs. 1 Nr. 2 genannten Verordnung und § 6 Abs. 4 Nr. 12, § 8 der in § 1 Abs. 1 Nr. 3 genannten Verordnung außer Kraft.</w:t>
      </w:r>
    </w:p>
    <w:p>
      <w:r>
        <w:rPr>
          <w:color w:val="555555"/>
          <w:sz w:val="17"/>
        </w:rPr>
        <w:t xml:space="preserve">Zitiervorschlag: § 10 NPBefVMVK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https://recht.nulegal.eu/gesetze/NPBefVMVK/10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