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NOOTSStVtr — Anschluss an das EU-OOTS</w:t>
      </w:r>
    </w:p>
    <w:p>
      <w:r>
        <w:rPr>
          <w:color w:val="555555"/>
          <w:sz w:val="18"/>
        </w:rPr>
        <w:t xml:space="preserve">Vertrag über die Errichtung, den Betrieb und die Weiterentwicklung des Nationalen Once-Only-Technical-Systems (NOOTS) – Vertrag zur Ausführung von Artikel 91c Absatz 1, Absatz 2 GG – NOOTS-Staatsvertrag</w:t>
      </w:r>
    </w:p>
    <w:p>
      <w:r>
        <w:rPr>
          <w:color w:val="555555"/>
          <w:sz w:val="18"/>
        </w:rPr>
        <w:t xml:space="preserve">Stand: 14.03.2026 (konsolidierte Textfassung, kein amtliches Inkrafttretensdatum)</w:t>
      </w:r>
    </w:p>
    <w:p>
      <w:r>
        <w:t xml:space="preserve">Das NOOTS stellt einen Anschluss an das technische System nach Artikel 14 der Verordnung (EU) 2018/1724 des Europäischen Parlaments und des Rates vom 2. Oktober 2018 über die Einrichtung eines einheitlichen digitalen Zugangstors zu Informationen, Verfahren, Hilfs- und Problemlösungsdiensten und zur Änderung der Verordnung (EU) Nr. 1024/2012 (Single Digital Gateway-Verordnung) (ABl. L 295 vom 21.11.2018, S. 1) her. Die Verpflichtung zum Anschluss an dieses EU-OOTS ergibt sich aus der Verordnung (EU) 2018/1724.</w:t>
      </w:r>
    </w:p>
    <w:p>
      <w:r>
        <w:rPr>
          <w:color w:val="555555"/>
          <w:sz w:val="17"/>
        </w:rPr>
        <w:t xml:space="preserve">Zitiervorschlag: § 6 NOOTSStVtr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https://recht.nulegal.eu/gesetze/NOOTSStVtr/6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