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NOOTSStVtr — Betriebsverantwortliche Stelle</w:t>
      </w:r>
    </w:p>
    <w:p>
      <w:r>
        <w:rPr>
          <w:color w:val="555555"/>
          <w:sz w:val="18"/>
        </w:rPr>
        <w:t xml:space="preserve">Vertrag über die Errichtung, den Betrieb und die Weiterentwicklung des Nationalen Once-Only-Technical-Systems (NOOTS) – Vertrag zur Ausführung von Artikel 91c Absatz 1, Absatz 2 GG – NOOTS-Staatsvertrag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operative Umsetzung der Errichtung, des Betriebs und der Weiterentwicklung des NOOTS erfolgt durch das Bundesverwaltungsamt als betriebsverantwortliche Stelle.</w:t>
      </w:r>
    </w:p>
    <w:p>
      <w:r>
        <w:t xml:space="preserve">(2) Die betriebsverantwortliche Stelle legt der Steuerungsgruppe NOOTS über die Gesamtleitung Vorschläge für die Anschlussbedingungen an das NOOTS vor.</w:t>
      </w:r>
    </w:p>
    <w:p>
      <w:r>
        <w:t xml:space="preserve">(3) Die betriebsverantwortliche Stelle berichtet der Gesamtleitung regelmäßig über den aktuellen Status des NOOTS.</w:t>
      </w:r>
    </w:p>
    <w:p>
      <w:r>
        <w:rPr>
          <w:color w:val="555555"/>
          <w:sz w:val="17"/>
        </w:rPr>
        <w:t xml:space="preserve">Zitiervorschlag: § 4 NOOTSStVtr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https://recht.nulegal.eu/gesetze/NOOTSStVtr/4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