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NOOTSStVtr — Ratifikation und Inkrafttreten</w:t>
      </w:r>
    </w:p>
    <w:p>
      <w:r>
        <w:rPr>
          <w:color w:val="555555"/>
          <w:sz w:val="18"/>
        </w:rPr>
        <w:t xml:space="preserve">Vertrag über die Errichtung, den Betrieb und die Weiterentwicklung des Nationalen Once-Only-Technical-Systems (NOOTS) – Vertrag zur Ausführung von Artikel 91c Absatz 1, Absatz 2 GG – NOOTS-Staatsvertrag</w:t>
      </w:r>
    </w:p>
    <w:p>
      <w:r>
        <w:rPr>
          <w:color w:val="555555"/>
          <w:sz w:val="18"/>
        </w:rPr>
        <w:t xml:space="preserve">Stand: 14.03.2026 (konsolidierte Textfassung, kein amtliches Inkrafttretensdatum)</w:t>
      </w:r>
    </w:p>
    <w:p>
      <w:r>
        <w:t xml:space="preserve">(1) Der Vertrag bedarf der Ratifikation. Er tritt am Ersten des Monats in Kraft, der auf den Monat folgt, in dem der Bund und elf Länder, welche mindestens zwei Drittel ihrer Finanzierungsanteile nach dem Königsteiner Schlüssel abbilden, ihre Ratifikationsurkunden bei dem der Ministerpräsidentenkonferenz vorsitzenden Land hinterlegt haben. Das der Ministerpräsidentenkonferenz vorsitzende Land teilt den Vertragsparteien den Zeitpunkt nach Satz 2 sowie die Hinterlegung der letzten Ratifikationsurkunde mit.</w:t>
      </w:r>
    </w:p>
    <w:p>
      <w:r>
        <w:t xml:space="preserve">(2) Sind bis zum 30. Juni 2026 nicht mindestens die Ratifikationsurkunden des Bundes und von elf Ländern, welche mindestens zwei Drittel ihrer Finanzierungsanteile nach dem Königsteiner Schlüssel abbilden, bei dem der Ministerpräsidentenkonferenz vorsitzenden Land hinterlegt, wird der Vertrag gegenstandslos.</w:t>
      </w:r>
    </w:p>
    <w:p>
      <w:r>
        <w:rPr>
          <w:color w:val="555555"/>
          <w:sz w:val="17"/>
        </w:rPr>
        <w:t xml:space="preserve">Zitiervorschlag: § 10 NOOTSStVtr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https://recht.nulegal.eu/gesetze/NOOTSStVtr/10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