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NOKWeichBefV</w:t>
      </w:r>
    </w:p>
    <w:p>
      <w:r>
        <w:rPr>
          <w:color w:val="555555"/>
          <w:sz w:val="18"/>
        </w:rPr>
        <w:t xml:space="preserve">NOK-Weichenbefahrungsverordnung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Auf Grund des § 9 Absatz 1 Satz 1 Nummer 2 des Seeaufgabengesetzes in der Fassung der Bekanntmachung vom 17. Juni 2016 (BGBl. I S. 1489) in Verbindung mit § 60 Absatz 3 der Seeschifffahrtsstraßen-Ordnung in der Fassung der Bekanntmachung vom 22. Oktober 1998 (BGBl. I S. 3209; 1999 I S. 193), dessen Satz 1 zuletzt durch Artikel 60 Nummer 10 der Verordnung vom 2. Juni 2016 (BGBl. I S. 1257) geändert worden ist, verordnet die Generaldirektion Wasserstraßen und Schifffahrt:</w:t>
      </w:r>
    </w:p>
    <w:p>
      <w:r>
        <w:rPr>
          <w:color w:val="555555"/>
          <w:sz w:val="17"/>
        </w:rPr>
        <w:t xml:space="preserve">Zitiervorschlag: Eingangsformel NOKWeichBefV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https://recht.nulegal.eu/gesetze/NOKWeichBefV/eingangsformel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