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04.06.2022 (konsolidierte Textfassung, kein amtliches Inkrafttretensdatum)</w:t>
      </w:r>
    </w:p>
    <w:p>
      <w:r>
        <w:t xml:space="preserve">Auf Grund des § 13 Abs. 2 des Seeaufgabengesetzes in der Fassung der Bekanntmachung vom 21. Januar 1987 (BGBl. I S. 541) verordnet das Bundesministerium für Verkehr im Einvernehmen mit dem Bundesministerium der Finanzen und nach Anhörung der Küstenländer:</w:t>
      </w:r>
    </w:p>
    <w:p>
      <w:r>
        <w:rPr>
          <w:color w:val="555555"/>
          <w:sz w:val="17"/>
        </w:rPr>
        <w:t xml:space="preserve">Zitiervorschlag: Eingangsformel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