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NOKBefAbgV</w:t>
      </w:r>
    </w:p>
    <w:p>
      <w:r>
        <w:rPr>
          <w:color w:val="555555"/>
          <w:sz w:val="18"/>
        </w:rPr>
        <w:t xml:space="preserve">Verordnung über die Befahrungsabgaben auf dem Nord-Ostsee-Kanal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Von der Zahlung der Befahrungsabgaben sind befreit:</w:t>
      </w:r>
    </w:p>
    <w:p>
      <w:pPr>
        <w:ind w:left="420"/>
      </w:pPr>
      <w:r>
        <w:t xml:space="preserve">1. Dienstfahrzeuge der Wasserstraßen- und Schifffahrtsverwaltung des Bundes sowie Fahrzeuge der Deutschen Gesellschaft zur Rettung Schiffbrüchiger;</w:t>
      </w:r>
    </w:p>
    <w:p>
      <w:pPr>
        <w:ind w:left="420"/>
      </w:pPr>
      <w:r>
        <w:t xml:space="preserve">2. Dienstfahrzeuge des Bundes und des Landes Schleswig-Holstein, die für den Nord-Ostsee-Kanal dienstliche Aufgaben zu erfüllen haben;</w:t>
      </w:r>
    </w:p>
    <w:p>
      <w:pPr>
        <w:ind w:left="420"/>
      </w:pPr>
      <w:r>
        <w:t xml:space="preserve">3. Fahrzeuge von Unternehmen, die im Auftrag der Wasserstraßen- und Schifffahrtsverwaltung des Bundes am Kanal tätig sind;</w:t>
      </w:r>
    </w:p>
    <w:p>
      <w:pPr>
        <w:ind w:left="420"/>
      </w:pPr>
      <w:r>
        <w:t xml:space="preserve">4. Muskelbetriebene Sportfahrzeuge.</w:t>
      </w:r>
    </w:p>
    <w:p>
      <w:r>
        <w:t xml:space="preserve">(2) Weitere Befreiungen und Ermäßigungen kann die Generaldirektion Wasserstraßen und Schifffahrt im Einzelfall zulassen, wenn das öffentliche Interesse es erfordert.</w:t>
      </w:r>
    </w:p>
    <w:p>
      <w:r>
        <w:rPr>
          <w:color w:val="555555"/>
          <w:sz w:val="17"/>
        </w:rPr>
        <w:t xml:space="preserve">Zitiervorschlag: § 6 NOKBefAbgV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https://recht.nulegal.eu/gesetze/NOKBefAbgV/6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