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04.06.2022 (konsolidierte Textfassung, kein amtliches Inkrafttretensdatum)</w:t>
      </w:r>
    </w:p>
    <w:p>
      <w:r>
        <w:t xml:space="preserve">(1) Bei der Bemessung der Befahrensabgaben werden zugrundegelegt:</w:t>
      </w:r>
    </w:p>
    <w:p>
      <w:pPr>
        <w:ind w:left="420"/>
      </w:pPr>
      <w:r>
        <w:t xml:space="preserve">1. bei Seeschiffen die Bruttoraumzahl nach dem Internationalen Schiffsmeßbrief (1969); ist bei Tankschiffen das um den Raumgehalt der getrennten Wasserballasttanks reduzierte Vermessungsergebnis von der Schiffsvermessungsbehörde nach den IMO-Resolutionen A.388 (X), A.722(17) oder A.747(18) bescheinigt, so ist die reduzierte Bruttoraumzahl zugrunde zu legen; bei Ro-Ro-Schiffen, Passagier-Autofähren und Autotransporten reduziert sich die Bruttoraumzahl nach dem Internationalen Schiffsmeßbrief (1969) um 15%;</w:t>
      </w:r>
    </w:p>
    <w:p>
      <w:pPr>
        <w:ind w:left="420"/>
      </w:pPr>
      <w:r>
        <w:t xml:space="preserve">2. bei Binnenschiffen die Hälfte der im Eichschein ausgewiesenen Tragfähigkeit in Tonnen;</w:t>
      </w:r>
    </w:p>
    <w:p>
      <w:pPr>
        <w:ind w:left="420"/>
      </w:pPr>
      <w:r>
        <w:t xml:space="preserve">3. bei Kriegsfahrzeugen, für die keine Schiffsmeßbriefe ausgestellt sind, die Wasserverdrängung in Kubikmetern;</w:t>
      </w:r>
    </w:p>
    <w:p>
      <w:pPr>
        <w:ind w:left="420"/>
      </w:pPr>
      <w:r>
        <w:t xml:space="preserve">4. bei anderen Fahrzeugen, die nicht vermessen und nicht geeicht sind, die von einem von der Generaldirektion Wasserstraßen und Schifffahrt bestimmten Sachverständigen geschätzte Bruttoraumzahl; die Kosten der Schätzung hat der zur Zahlung der Befahrungsabgaben Verpflichtete zu tragen;</w:t>
      </w:r>
    </w:p>
    <w:p>
      <w:pPr>
        <w:ind w:left="420"/>
      </w:pPr>
      <w:r>
        <w:t xml:space="preserve">5. bei Schlepp- und Schubverbänden die Summe der nach den Nummern 1 bis 4 ermittelten Bruttoraumzahlen oder Tonnen aller Fahrzeuge;</w:t>
      </w:r>
    </w:p>
    <w:p>
      <w:pPr>
        <w:ind w:left="420"/>
      </w:pPr>
      <w:r>
        <w:t xml:space="preserve">6. bei Sportbooten die größte Länge des Fahrzeuges in Metern.</w:t>
      </w:r>
    </w:p>
    <w:p>
      <w:r>
        <w:t xml:space="preserve">(2) Eine nicht auf volle Euro errechnete Befahrungsabgabe wird auf den nächstliegenden Euro auf- oder abgerundet; 0,50 Euro werden aufgerundet. Für die Abwicklung des bargeldlosen Zahlungsverkehrs kann die Generaldirektion Wasserstraßen und Schifffahrt eine Verwaltungsgebühr in Höhe der dadurch entstandenen Kosten erheben.</w:t>
      </w:r>
    </w:p>
    <w:p>
      <w:r>
        <w:rPr>
          <w:color w:val="555555"/>
          <w:sz w:val="17"/>
        </w:rPr>
        <w:t xml:space="preserve">Zitiervorschlag: § 5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