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NOKBefAbgV</w:t>
      </w:r>
    </w:p>
    <w:p>
      <w:r>
        <w:rPr>
          <w:color w:val="555555"/>
          <w:sz w:val="18"/>
        </w:rPr>
        <w:t xml:space="preserve">Verordnung über die Befahrungsabgaben auf dem Nord-Ostsee-Kanal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Hinsichtlich der Verjährung der Befahrungsabgaben sind die §§ 18 und 19 des Bundesgebührengesetzes vom 7. August 2013 (BGBl. I S. 3154), das zuletzt durch Artikel 2 des Gesetzes vom 16. Juli 2021 (BGBl. I S. 3019) geändert worden ist, mit der Maßgabe anzuwenden, dass die Verjährungsfrist drei Jahre beträgt.</w:t>
      </w:r>
    </w:p>
    <w:p>
      <w:r>
        <w:rPr>
          <w:color w:val="555555"/>
          <w:sz w:val="17"/>
        </w:rPr>
        <w:t xml:space="preserve">Zitiervorschlag: § 4 NOKBefAbgV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https://recht.nulegal.eu/gesetze/NOKBefAbgV/4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