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NOKBefAbgV</w:t>
      </w:r>
    </w:p>
    <w:p>
      <w:r>
        <w:rPr>
          <w:color w:val="555555"/>
          <w:sz w:val="18"/>
        </w:rPr>
        <w:t xml:space="preserve">Verordnung über die Befahrungsabgaben auf dem Nord-Ostsee-Kanal</w:t>
      </w:r>
    </w:p>
    <w:p>
      <w:r>
        <w:rPr>
          <w:color w:val="555555"/>
          <w:sz w:val="18"/>
        </w:rPr>
        <w:t xml:space="preserve">Stand: 04.06.2022 (konsolidierte Textfassung, kein amtliches Inkrafttretensdatum)</w:t>
      </w:r>
    </w:p>
    <w:p>
      <w:r>
        <w:t xml:space="preserve">Zur Zahlung der Befahrungsabgaben sind verpflichtet:</w:t>
      </w:r>
    </w:p>
    <w:p>
      <w:pPr>
        <w:ind w:left="420"/>
      </w:pPr>
      <w:r>
        <w:t xml:space="preserve">1. wer die Kanalfahrt veranlaßt hat,</w:t>
      </w:r>
    </w:p>
    <w:p>
      <w:pPr>
        <w:ind w:left="420"/>
      </w:pPr>
      <w:r>
        <w:t xml:space="preserve">2. wessen Fahrzeug den Kanal benutzt.</w:t>
      </w:r>
    </w:p>
    <w:p>
      <w:r>
        <w:t xml:space="preserve">Mehrere Zahlungspflichtige haften als Gesamtschuldner.</w:t>
      </w:r>
    </w:p>
    <w:p>
      <w:r>
        <w:rPr>
          <w:color w:val="555555"/>
          <w:sz w:val="17"/>
        </w:rPr>
        <w:t xml:space="preserve">Zitiervorschlag: § 2 NOKBefAbgV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https://recht.nulegal.eu/gesetze/NOKBefAbgV/2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