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NOKBefAbgV</w:t>
      </w:r>
    </w:p>
    <w:p>
      <w:r>
        <w:rPr>
          <w:color w:val="555555"/>
          <w:sz w:val="18"/>
        </w:rPr>
        <w:t xml:space="preserve">Verordnung über die Befahrungsabgaben auf dem Nord-Ostsee-Kanal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Für Wasserfahrzeuge, die den Nord-Ostsee-Kanal befahren, sind Befahrungsabgaben nach der Anlage 1 zu dieser Verordnung zu entrichten. Die Befahrungsabgaben werden von der Generaldirektion Wasserstraßen und Schifffahrt erhoben und eingezogen.</w:t>
      </w:r>
    </w:p>
    <w:p>
      <w:r>
        <w:t xml:space="preserve">(2) Die automatischen Einrichtungen für die Abgabenerhebung im Schleusengebiet für Fahrzeuge, die Sport- und Freizeitzwecken dienen (Sportfahrzeuge), werden durch das Wasserstraßen- und Schifffahrtsamt Nord-Ostsee-Kanal betrieben. Diesem obliegt auch die Kontrolle der Zahlungsnachweise für Sportfahrzeuge.</w:t>
      </w:r>
    </w:p>
    <w:p>
      <w:r>
        <w:rPr>
          <w:color w:val="555555"/>
          <w:sz w:val="17"/>
        </w:rPr>
        <w:t xml:space="preserve">Zitiervorschlag: § 1 NOKBefAbgV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https://recht.nulegal.eu/gesetze/NOKBefAbgV/1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