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NNMLuWunV (Bayern)</w:t>
      </w:r>
    </w:p>
    <w:p>
      <w:r>
        <w:rPr>
          <w:color w:val="555555"/>
          <w:sz w:val="18"/>
        </w:rPr>
        <w:t xml:space="preserve">Verordnung über das Nationale Naturmonument Luisenburg-Felsenlabyrinth Wunsiedel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12. Januar 2026</w:t>
      </w:r>
    </w:p>
    <w:p>
      <w:r>
        <w:t xml:space="preserve">Der Bayerische Ministerpräsident</w:t>
      </w:r>
    </w:p>
    <w:p>
      <w:r>
        <w:t xml:space="preserve">Dr. Markus Söder</w:t>
      </w:r>
    </w:p>
    <w:p>
      <w:r>
        <w:rPr>
          <w:color w:val="555555"/>
          <w:sz w:val="17"/>
        </w:rPr>
        <w:t xml:space="preserve">Zitiervorschlag: Schlussformel NNMLuWunV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https://recht.nulegal.eu/gesetze/NNMLuWunV/schlussformel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