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NNMLuWunV (Bayern) — Befreiungen</w:t>
      </w:r>
    </w:p>
    <w:p>
      <w:r>
        <w:rPr>
          <w:color w:val="555555"/>
          <w:sz w:val="18"/>
        </w:rPr>
        <w:t xml:space="preserve">Verordnung über das Nationale Naturmonument Luisenburg-Felsenlabyrinth Wunsiedel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Von den in § 3 genannten Verboten kann nach § 67 BNatSchG auf Antrag Befreiung erteilt werden. Zuständig ist die höhere Naturschutzbehörde; Art. 56 Satz 1 Teilsatz 4 des Bayerischen Naturschutzgesetzes (BayNatSchG) bleibt unberührt.</w:t>
      </w:r>
    </w:p>
    <w:p>
      <w:r>
        <w:rPr>
          <w:color w:val="555555"/>
          <w:sz w:val="17"/>
        </w:rPr>
        <w:t xml:space="preserve">Zitiervorschlag: § 5 NNMLuWunV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https://recht.nulegal.eu/gesetze/NNMLuWunV/5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