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NMV 1970 — Kostenmiete nach Wohnungsvergrößerung</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Sind sämtliche öffentlich geförderten Wohnungen durch Ausbau oder Erweiterung um weitere Wohnräume vergrößert worden, so hat der Vermieter eine neue Wirtschaftlichkeitsberechnung aufzustellen. Die sich ergebende Durchschnittsmiete bedarf der Genehmigung der Bewilligungsstelle; die Genehmigung wirkt auf den Zeitpunkt der Fertigstellung der Wohnungsvergrößerung zurück. Die neuen Einzelmieten sind entsprechend § 3 Abs. 3 zu berechnen; sie treten vom Ersten des auf die Fertigstellung folgenden Monats an an die Stelle der bisher zulässigen Einzelmieten.</w:t>
      </w:r>
    </w:p>
    <w:p>
      <w:r>
        <w:t xml:space="preserve">(2) Ist nur ein Teil der Wohnungen um weitere Wohnräume vergrößert worden, so ist für die vergrößerten Wohnungen vom Zeitpunkt der Fertigstellung an neben der Einzelmiete ein Zuschlag nach § 26 Abs. 1 Nr. 4 zulässig.</w:t>
      </w:r>
    </w:p>
    <w:p>
      <w:r>
        <w:t xml:space="preserve">(3) Die Vorschriften des § 4 Abs. 8 gelten entsprechend.</w:t>
      </w:r>
    </w:p>
    <w:p>
      <w:r>
        <w:rPr>
          <w:color w:val="555555"/>
          <w:sz w:val="17"/>
        </w:rPr>
        <w:t xml:space="preserve">Zitiervorschlag: § 8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