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NMV 1970 — Erhöhung der Kostenmiete wegen baulicher Änderungen</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Hat der Vermieter für sämtliche öffentlich geförderten Wohnungen bauliche Änderungen auf Grund von Umständen, die er nicht zu vertreten hat, vorgenommen, so kann er zur Berücksichtigung der hierdurch entstehenden laufenden Aufwendungen eine neue Wirtschaftlichkeitsberechnung aufstellen. Das gleiche gilt, wenn er mit Zustimmung der Bewilligungsstelle solche bauliche Änderungen vorgenommen hat, die eine Modernisierung im Sinne des § 11 Abs. 6 der Zweiten Berechnungsverordnung bewirken; die Zustimmung gilt als erteilt, wenn Mittel aus öffentlichen Haushalten für die Modernisierung bewilligt worden sind. Die sich ergebende erhöhte Durchschnittsmiete bildet vom Ersten des auf die Fertigstellung folgenden Monats an die Grundlage der Kostenmiete. Für die Erhöhung der Einzelmieten gilt § 4 Abs. 5 entsprechend. Soweit die baulichen Änderungen nach Art oder Umfang für die einzelnen Wohnungen unterschiedlich sind, ist dies bei der Berechnung der Einzelmieten angemessen zu berücksichtigen.</w:t>
      </w:r>
    </w:p>
    <w:p>
      <w:r>
        <w:t xml:space="preserve">(2) Sind die baulichen Änderungen nur für einen Teil der Wohnungen vorgenommen worden, so ist für diese Wohnungen neben der Einzelmiete ein Zuschlag zur Deckung der erhöhten laufenden Aufwendungen nach § 26 Abs. 1 Nr. 4 zulässig; bei einer Modernisierung von unterschiedlichem Umfang gilt für die Höhe des Zuschlags Absatz 1 Satz 5 sinngemäß. Von dem Zeitpunkt an, in dem die baulichen Änderungen für sämtliche Wohnungen durchgeführt worden sind, tritt an die Stelle der Zuschläge zur Einzelmiete eine Erhöhung der Durchschnittsmiete und der Einzelmieten nach den Vorschriften des Absatzes 1.</w:t>
      </w:r>
    </w:p>
    <w:p>
      <w:r>
        <w:rPr>
          <w:color w:val="555555"/>
          <w:sz w:val="17"/>
        </w:rPr>
        <w:t xml:space="preserve">Zitiervorschlag: § 6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