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NMV 1970 — Änderung der Kostenmiete infolge Änderung der Wirtschaftseinheit</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Wird nach der erstmaligen Ermittlung der Kostenmiete eine Wirtschaftseinheit aufgeteilt, so hat der Vermieter unverzüglich Wirtschaftlichkeitsberechnungen für die einzelnen Gebäude oder, wenn neue Wirtschaftseinheiten entstanden sind, für die neuen Wirtschaftseinheiten aufzustellen. Wird Wohnungseigentum an den Wohnungen einer Wirtschaftseinheit oder eines Gebäudes begründet, so hat der Vermieter unverzüglich eine Wirtschaftlichkeitsberechnung für die einzelnen Wohnungen aufzustellen.</w:t>
      </w:r>
    </w:p>
    <w:p>
      <w:r>
        <w:t xml:space="preserve">(2) Sind nach der erstmaligen Ermittlung der Kostenmiete mehrere Gebäude, mehrere Wirtschaftseinheiten oder mehrere Gebäude und Wirtschaftseinheiten mit Zustimmung der Bewilligungsstelle zu einer Wirtschaftseinheit zusammengefaßt worden, so hat der Vermieter unverzüglich eine neue Wirtschaftlichkeitsberechnung für die entstandene Wirtschaftseinheit aufzustellen.</w:t>
      </w:r>
    </w:p>
    <w:p>
      <w:r>
        <w:t xml:space="preserve">(3) Die Durchschnittsmieten, die sich aus den nach den Absätzen 1 und 2 aufgestellten Wirtschaftlichkeitsberechnungen ergeben, bedürfen der Genehmigung der Bewilligungsstelle. Sie bilden vom Zeitpunkt der Genehmigung an die Grundlage der Kostenmiete. Für die Berechnung der Einzelmieten gilt § 3 Abs. 3. Erhöht sich die zulässige Einzelmiete gegenüber dem Zeitpunkt vor der Genehmigung, gilt § 4 Abs. 7 und Abs. 8 Satz 1. Verringert sich die zulässige Einzelmiete gegenüber dem Zeitpunkt vor der Genehmigung, so hat der Vermieter die Miete zu senken und die Mietsenkung den Mietern unverzüglich mitzuteilen; die Mietsenkung ist zu berechnen und entsprechend § 4 Abs. 7 Satz 2 und 3 zu erläutern.</w:t>
      </w:r>
    </w:p>
    <w:p>
      <w:r>
        <w:rPr>
          <w:color w:val="555555"/>
          <w:sz w:val="17"/>
        </w:rPr>
        <w:t xml:space="preserve">Zitiervorschlag: § 5a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