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NMV 1970 — Überleitungsvorschrift</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 4 Abs. 6 und § 8a sind in der mit Inkrafttreten dieser Verordnung geltenden Fassung anzuwenden, wenn die Darlehen nach dem 31. Dezember 1989 vorzeitig zurückgezahlt oder abgelöst wurden oder nach diesem Zeitpunkt auf die weitere Auszahlung von Zuschüssen zur Deckung der laufenden Aufwendungen oder von Zinszuschüssen verzichtet wurde.</w:t>
      </w:r>
    </w:p>
    <w:p>
      <w:r>
        <w:t xml:space="preserve">(2) Sind für ein Gebäude oder eine Wirtschaftseinheit auf Grund von Ausbau oder Erweiterung Wirtschaftlichkeitsberechnungen oder Teilwirtschaftlichkeitsberechnungen vor dem 29. August 1990 aufgestellt worden, sind die Regelungen der §§ 7, 16 und 26 in der bis zum 29. August 1990 geltenden Fassung anzuwenden.</w:t>
      </w:r>
    </w:p>
    <w:p>
      <w:r>
        <w:t xml:space="preserve">(3) (weggefallen)</w:t>
      </w:r>
    </w:p>
    <w:p>
      <w:r>
        <w:rPr>
          <w:color w:val="555555"/>
          <w:sz w:val="17"/>
        </w:rPr>
        <w:t xml:space="preserve">Zitiervorschlag: § 34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