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NMV 1970 — Zulässige Miete für Untervermietung</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Wird von einer Wohnung mehr als die Hälfte der Wohnfläche untervermietet, so darf die Miete für den untervermieteten Teil (Untermiete) den Betrag nicht übersteigen, der nach der für die Wohnung zulässigen Einzelmiete oder Vergleichsmiete anteilig auf die untervermietete Wohnfläche entfällt. Bei der Ermittlung der Wohnfläche und des Anteils bleiben gemeinschaftlich genutzte Räume außer Betracht.</w:t>
      </w:r>
    </w:p>
    <w:p>
      <w:r>
        <w:t xml:space="preserve">(2) Neben der Untermiete dürfen die für die Wohnung zu entrichtenden Umlagen, Zuschläge und Vergütungen mit dem nach Absatz 1 ermittelten Anteil erhoben werden. Die nach § 26 Abs. 1 Nr. 1 und 2 zu entrichtenden Zuschläge dürfen, soweit sie den untervermieteten Wohnungsteil betreffen, in voller Höhe erhoben werden.</w:t>
      </w:r>
    </w:p>
    <w:p>
      <w:r>
        <w:t xml:space="preserve">(3) Für die mietweise Überlassung von Einrichtungsgegenständen, für die Mitbenutzung von Räumen oder Einrichtungen und für sonstige Nebenleistungen ist eine Vergütung nur in angemessener Höhe zulässig.</w:t>
      </w:r>
    </w:p>
    <w:p>
      <w:r>
        <w:t xml:space="preserve">(4) Hat sich die für die Wohnung zu entrichtende Einzelmiete oder Vergleichsmiete geändert, so ändert sich die zulässige Untermiete entsprechend. Die Vorschriften des § 4 Abs. 7 und des § 5 Abs. 1 Satz 4 gelten sinngemäß.</w:t>
      </w:r>
    </w:p>
    <w:p>
      <w:r>
        <w:t xml:space="preserve">(5) Einer Untervermietung steht es gleich, wenn der Eigentümer oder der sonst Verfügungsberechtigte von der von ihm benutzten Wohnung mehr als die Hälfte der Wohnfläche vermietet.</w:t>
      </w:r>
    </w:p>
    <w:p>
      <w:r>
        <w:rPr>
          <w:color w:val="555555"/>
          <w:sz w:val="17"/>
        </w:rPr>
        <w:t xml:space="preserve">Zitiervorschlag: § 31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