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25a NMV 1970 — Umlageausfallwagnis</w:t>
      </w:r>
    </w:p>
    <w:p>
      <w:r>
        <w:rPr>
          <w:color w:val="555555"/>
          <w:sz w:val="18"/>
        </w:rPr>
        <w:t xml:space="preserve">Neubaumietenverordnung 1970</w:t>
      </w:r>
    </w:p>
    <w:p>
      <w:r>
        <w:rPr>
          <w:color w:val="555555"/>
          <w:sz w:val="18"/>
        </w:rPr>
        <w:t xml:space="preserve">Stand: 10.06.2019 (konsolidierte Textfassung, kein amtliches Inkrafttretensdatum)</w:t>
      </w:r>
    </w:p>
    <w:p>
      <w:r>
        <w:t xml:space="preserve">Das Umlageausfallwagnis ist das Wagnis einer Einnahmenminderung, die durch uneinbringliche Rückstände von Betriebskosten oder nicht umlegbarer Betriebskosten infolge Leerstehens von Raum, der zur Vermietung bestimmt ist, einschließlich der uneinbringlichen Kosten einer Rechtsverfolgung auf Zahlung entsteht. Das Umlageausfallwagnis darf 2 vom Hundert der im Abrechnungszeitraum auf den Wohnraum entfallenden Betriebskosten nicht übersteigen. Soweit die Deckung von Ausfällen anders, namentlich durch einen Anspruch gegenüber einem Dritten gesichert ist, darf die Umlage nicht erhöht werden.</w:t>
      </w:r>
    </w:p>
    <w:p>
      <w:r>
        <w:rPr>
          <w:color w:val="555555"/>
          <w:sz w:val="17"/>
        </w:rPr>
        <w:t xml:space="preserve">Zitiervorschlag: § 25a NMV 1970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https://recht.nulegal.eu/gesetze/NMV%201970/25a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25a NMV 1970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