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24a NMV 1970 — Umlegung der Kosten des Betriebs der mit einem Breitbandkabelnetz verbundenen privaten Verteilanlage und der Gemeinschafts-Antennenanlage</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Zu den Kosten des Betriebs der mit einem Breitbandkabelnetz verbundenen privaten Verteilanlage gehören die Kosten des Betriebsstroms und die Kosten der regelmäßigen Prüfung ihrer Betriebsbereitschaft einschließlich der Einstellung durch eine Fachkraft oder das Nutzungsentgelt für eine nicht zur Wirtschaftseinheit gehörende Verteilanlage sowie die Gebühren, die nach dem Urheberrechtsgesetz für die Kabelweitersendung entstehen. Satz 1 gilt entsprechend für die Kosten des Betriebs der Gemeinschafts-Antennenanlage. Zu den Betriebskosten im Sinne des Satzes 1 gehören ferner die laufenden monatlichen Grundgebühren für Breitbandkabelanschlüsse.</w:t>
      </w:r>
    </w:p>
    <w:p>
      <w:r>
        <w:t xml:space="preserve">(2) Die Kosten nach Absatz 1 Satz 1 und 2 dürfen nach dem Verhältnis der Wohnflächen umgelegt werden, sofern nicht im Einvernehmen mit allen Mietern ein anderer Umlegungsmaßstab vereinbar ist. Die Kosten nach Absatz 1 Satz 3 dürfen nur zu gleichen Teilen auf die Wohnungen umgelegt werden, die mit Zustimmung des Nutzungsberechtigten angeschlossen worden sind.</w:t>
      </w:r>
    </w:p>
    <w:p>
      <w:r>
        <w:rPr>
          <w:color w:val="555555"/>
          <w:sz w:val="17"/>
        </w:rPr>
        <w:t xml:space="preserve">Zitiervorschlag: § 24a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https://recht.nulegal.eu/gesetze/NMV%201970/24a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