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NMV 1970 — Umlegung der Kosten des Betriebs von Aufzügen</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Zu den Kosten des Betriebs eines Personen oder Lastenaufzugs gehören die Kosten des Betriebsstromes sowie die Kosten der Beaufsichtigung, der Bedienung, Überwachung und Pflege der Anlage, der regelmäßigen Prüfung ihrer Betriebsbereitschaft und Betriebssicherheit einschließlich der Einstellung durch eine Fachkraft sowie der Reinigung der Anlage.</w:t>
      </w:r>
    </w:p>
    <w:p>
      <w:r>
        <w:t xml:space="preserve">(2) Die Kosten dürfen nach dem Verhältnis der Wohnflächen umgelegt werden, sofern nicht im Einvernehmen mit allen Mietern ein anderer Umlegungsmaßstab vereinbart ist. Wohnraum im Erdgeschoß kann von der Umlegung ausgenommen werden.</w:t>
      </w:r>
    </w:p>
    <w:p>
      <w:r>
        <w:rPr>
          <w:color w:val="555555"/>
          <w:sz w:val="17"/>
        </w:rPr>
        <w:t xml:space="preserve">Zitiervorschlag: § 24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