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NMV 1970 — Umlegung der Kosten des Betriebs der zentralen Brennstoffversorgungsanlage</w:t>
      </w:r>
    </w:p>
    <w:p>
      <w:r>
        <w:rPr>
          <w:color w:val="555555"/>
          <w:sz w:val="18"/>
        </w:rPr>
        <w:t xml:space="preserve">Neubaumietenverordnung 1970</w:t>
      </w:r>
    </w:p>
    <w:p>
      <w:r>
        <w:rPr>
          <w:color w:val="555555"/>
          <w:sz w:val="18"/>
        </w:rPr>
        <w:t xml:space="preserve">Stand: 10.06.2019 (konsolidierte Textfassung, kein amtliches Inkrafttretensdatum)</w:t>
      </w:r>
    </w:p>
    <w:p>
      <w:r>
        <w:t xml:space="preserve">(1) Zu den Kosten des Betriebs der zentralen Brennstoffversorgungsanlage gehören die Kosten der verbrauchten Brennstoffe und ihrer Lieferung, die Kosten des Betriebsstromes und die Kosten der Überwachung sowie die Kosten der Reinigung der Anlage und des Betriebsraumes.</w:t>
      </w:r>
    </w:p>
    <w:p>
      <w:r>
        <w:t xml:space="preserve">(2) Die Kosten dürfen nur nach dem Brennstoffverbrauch umgelegt werden.</w:t>
      </w:r>
    </w:p>
    <w:p>
      <w:r>
        <w:rPr>
          <w:color w:val="555555"/>
          <w:sz w:val="17"/>
        </w:rPr>
        <w:t xml:space="preserve">Zitiervorschlag: § 23 NMV 1970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https://recht.nulegal.eu/gesetze/NMV%201970/23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