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NMV 1970 — Anwendung der Zweiten Berechnungsverordnung</w:t>
      </w:r>
    </w:p>
    <w:p>
      <w:r>
        <w:rPr>
          <w:color w:val="555555"/>
          <w:sz w:val="18"/>
        </w:rPr>
        <w:t xml:space="preserve">Neubaumietenverordnung 1970</w:t>
      </w:r>
    </w:p>
    <w:p>
      <w:r>
        <w:rPr>
          <w:color w:val="555555"/>
          <w:sz w:val="18"/>
        </w:rPr>
        <w:t xml:space="preserve">Stand: 10.06.2019 (konsolidierte Textfassung, kein amtliches Inkrafttretensdatum)</w:t>
      </w:r>
    </w:p>
    <w:p>
      <w:r>
        <w:t xml:space="preserve">Ist zur Ermittlung der zulässigen Miete eine Wirtschaftlichkeitsberechnung aufzustellen oder die Wohnfläche zu berechnen oder sind die laufenden Aufwendungen zu ermitteln, so sind hierfür die Vorschriften der Zweiten Berechnungsverordnung in der jeweils geltenden Fassung anzuwenden.</w:t>
      </w:r>
    </w:p>
    <w:p>
      <w:r>
        <w:rPr>
          <w:color w:val="555555"/>
          <w:sz w:val="17"/>
        </w:rPr>
        <w:t xml:space="preserve">Zitiervorschlag: § 2 NMV 1970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https://recht.nulegal.eu/gesetze/NMV%201970/2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