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NMV 1970 — Erhöhung der Vergleichsmiete wegen baulicher Änderungen</w:t>
      </w:r>
    </w:p>
    <w:p>
      <w:r>
        <w:rPr>
          <w:color w:val="555555"/>
          <w:sz w:val="18"/>
        </w:rPr>
        <w:t xml:space="preserve">Neubaumietenverordnung 1970</w:t>
      </w:r>
    </w:p>
    <w:p>
      <w:r>
        <w:rPr>
          <w:color w:val="555555"/>
          <w:sz w:val="18"/>
        </w:rPr>
        <w:t xml:space="preserve">Stand: 10.06.2019 (konsolidierte Textfassung, kein amtliches Inkrafttretensdatum)</w:t>
      </w:r>
    </w:p>
    <w:p>
      <w:r>
        <w:t xml:space="preserve">(1) Hat der Vermieter für sämtliche öffentlich geförderten Wohnungen bauliche Änderungen auf Grund von Umständen, die er nicht zu vertreten hat, vorgenommen oder hat er mit Zustimmung der Bewilligungsstelle solche bauliche Änderungen vorgenommen, die eine Modernisierung im Sinne des § 11 Abs. 6 der Zweiten Berechnungsverordnung bewirken, so erhöht sich die nach § 11 oder § 12 zulässige Vergleichsmiete vom Ersten des auf die Fertigstellung folgenden Monats an um die zusätzlichen laufenden Aufwendungen, die durch die baulichen Änderungen entstanden sind und je Monat auf die Wohnungen anteilig entfallen. Die Zustimmung gilt als erteilt, wenn Mittel aus öffentlichen Haushalten für die Modernisierung bewilligt worden sind.</w:t>
      </w:r>
    </w:p>
    <w:p>
      <w:r>
        <w:t xml:space="preserve">(2) Der Erhöhungsbetrag ist auf Grund einer Zusatzberechnung nach § 39a Abs. 4 der Zweiten Berechnungsverordnung zu ermitteln. Für die Aufteilung des Erhöhungsbetrages auf die einzelnen Wohnungen bei unterschiedlichen baulichen Änderungen gilt § 6 Abs. 1 Satz 5 entsprechend.</w:t>
      </w:r>
    </w:p>
    <w:p>
      <w:r>
        <w:t xml:space="preserve">(3) Bei baulichen Änderungen, die nur für einen Teil der Wohnungen vorgenommen werden, gelten die Vorschriften des § 6 Abs. 2 sinngemäß.</w:t>
      </w:r>
    </w:p>
    <w:p>
      <w:r>
        <w:rPr>
          <w:color w:val="555555"/>
          <w:sz w:val="17"/>
        </w:rPr>
        <w:t xml:space="preserve">Zitiervorschlag: § 13 NMV 1970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https://recht.nulegal.eu/gesetze/NMV%201970/13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