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NMV 1970 — Änderung der Vergleichsmiete infolge Änderung der laufenden Aufwendungen</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Hat sich der Gesamtbetrag der laufenden Aufwendungen gegenüber dem Betrag geändert, der im Zeitpunkt der Bewilligung der öffentlichen Mittel tatsächlich zu entrichten war oder im Rahmen einer Wirtschaftlichkeitsberechnung hätte angesetzt werden können, so ändert sich die Vergleichsmiete vom Ersten des folgenden Monats an um den Änderungsbetrag, der je Monat anteilig auf die Wohnung entfällt, deren Vergleichsmiete zu ermitteln ist. Änderungen der laufenden Aufwendungen, die sich nicht auf diese Wohnung beziehen, bleiben unberücksichtigt. Bei einer Erhöhung der laufenden Aufwendungen tritt eine Änderung der Vergleichsmiete nach Satz 1 nur ein, soweit die Erhöhung auf Umständen beruht, die der Vermieter nicht zu vertreten hat, oder soweit durch Gesetz oder Rechtsverordnung ein höherer Ansatz in der Wirtschaftlichkeitsberechnung zugelassen ist.</w:t>
      </w:r>
    </w:p>
    <w:p>
      <w:r>
        <w:t xml:space="preserve">(2) Der Änderungsbetrag ist auf Grund einer Zusatzberechnung nach § 39a Abs. 2 der Zweiten Berechnungsverordnung zu ermitteln. Der auf die Wohnung entfallende Anteil ist nach dem Verhältnis der Wohnflächen der einzelnen Wohnungen des Gebäudes zueinander zu berechnen; soweit sich laufende Aufwendungen geändert haben, die sich ausschließlich auf die Wohnung beziehen, sind diese in voller Höhe anzurechnen.</w:t>
      </w:r>
    </w:p>
    <w:p>
      <w:r>
        <w:t xml:space="preserve">(3) Für die Durchführung einer Erhöhung oder Senkung der Vergleichsmiete gegenüber dem Mieter gelten die Vorschriften des § 4 Abs. 7 und 8 sowie des § 5 Abs. 1 Satz 4 entsprechend.</w:t>
      </w:r>
    </w:p>
    <w:p>
      <w:r>
        <w:t xml:space="preserve">(4) Für erneute Änderungen des Gesamtbetrages der laufenden Aufwendungen nach einer Änderung gemäß Absatz 1 gelten die Absätze 1 bis 3 sinngemäß.</w:t>
      </w:r>
    </w:p>
    <w:p>
      <w:r>
        <w:rPr>
          <w:color w:val="555555"/>
          <w:sz w:val="17"/>
        </w:rPr>
        <w:t xml:space="preserve">Zitiervorschlag: § 12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NMV 1970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