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NMV 1970 — Mieterleistungen</w:t>
      </w:r>
    </w:p>
    <w:p>
      <w:r>
        <w:rPr>
          <w:color w:val="555555"/>
          <w:sz w:val="18"/>
        </w:rPr>
        <w:t xml:space="preserve">Neubaumietenverordnung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Einmalige Leistungen des Mieters, die mit Rücksicht auf die Überlassung der Wohnung erbracht werden sollen, sind nur nach Maßgabe des § 9 des Wohnungsbindungsgesetzes zulässig; das gleiche gilt für entsprechende Leistungen eines Dritten zugunsten des Mieters.</w:t>
      </w:r>
    </w:p>
    <w:p>
      <w:r>
        <w:rPr>
          <w:color w:val="555555"/>
          <w:sz w:val="17"/>
        </w:rPr>
        <w:t xml:space="preserve">Zitiervorschlag: § 10 NMV 1970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https://recht.nulegal.eu/gesetze/NMV%201970/10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