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NLV 2018</w:t>
      </w:r>
    </w:p>
    <w:p>
      <w:r>
        <w:rPr>
          <w:color w:val="555555"/>
          <w:sz w:val="18"/>
        </w:rPr>
        <w:t xml:space="preserve">Neuartige Lebensmittel-Verordnung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47 Absatz 2 Satz 1 Nummer 1 und des § 65 Satz 1 Nummer 3 des Lebensmittel- und Futtermittelgesetzbuches in der Fassung der Bekanntmachung vom 3. Juni 2013 (BGBl. I S. 1426)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NLV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