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NLV 2018 — Verkehrsverbot</w:t>
      </w:r>
    </w:p>
    <w:p>
      <w:r>
        <w:rPr>
          <w:color w:val="555555"/>
          <w:sz w:val="18"/>
        </w:rPr>
        <w:t xml:space="preserve">Neuartige Lebensmittel-Verordnung</w:t>
      </w:r>
    </w:p>
    <w:p>
      <w:r>
        <w:rPr>
          <w:color w:val="555555"/>
          <w:sz w:val="18"/>
        </w:rPr>
        <w:t xml:space="preserve">Stand: 29.10.2022 (konsolidierte Textfassung, kein amtliches Inkrafttretensdatum)</w:t>
      </w:r>
    </w:p>
    <w:p>
      <w:r>
        <w:t xml:space="preserve">(1) Es ist verboten, ein neuartiges Lebensmittel, das die in Satz 2 beschriebenen Höchstgehalte nicht einhält, in den Verkehr zu bringen oder in oder auf einem Lebensmittel zu verwenden. Höchstgehalte im Sinne des Satzes 1 sind solche, die in Tabelle 1 Spalte 2 des Anhangs der Durchführungsverordnung (EU) 2017/2470 der Kommission vom 20. Dezember 2017 zur Erstellung der Unionsliste der neuartigen Lebensmittel gemäß der Verordnung (EU) 2015/2283 des Europäischen Parlaments und des Rates über neuartige Lebensmittel (ABl. L 351 vom 30.12.2017, S. 72), die zuletzt durch die Durchführungsverordnung (EU) 2021/912 (ABl. L 199 vom 7.6.2021, S. 10) geändert worden ist, festgelegt sind und</w:t>
      </w:r>
    </w:p>
    <w:p>
      <w:pPr>
        <w:ind w:left="420"/>
      </w:pPr>
      <w:r>
        <w:t xml:space="preserve">1. ausgedrückt sind als Verhältnis von einer Einheit im Sinne von § 1 Absatz 1 der Einheitenverordnung vom 13. Dezember 1985 (BGBl. I S. 2272), die zuletzt durch Artikel 1 der Verordnung vom 25. September 2009 (BGBl. I S. 3169) geändert worden ist, zu einer anderen solchen Einheit,</w:t>
      </w:r>
    </w:p>
    <w:p>
      <w:pPr>
        <w:ind w:left="420"/>
      </w:pPr>
      <w:r>
        <w:t xml:space="preserve">2. ausgedrückt sind als Verhältnis von einer Einheit im Sinne von § 1 Absatz 1 der Einheitenverordnung zu den Einheiten „Portion“ oder „Mahlzeit“ oder</w:t>
      </w:r>
    </w:p>
    <w:p>
      <w:pPr>
        <w:ind w:left="420"/>
      </w:pPr>
      <w:r>
        <w:t xml:space="preserve">3. in Prozent ausgedrückt sind.</w:t>
      </w:r>
    </w:p>
    <w:p>
      <w:r>
        <w:t xml:space="preserve">(2) Es ist verboten, ein neuartiges Lebensmittel, das die in den Sätzen 2 und 3 beschriebenen Spezifikationen, insbesondere die Höchstgehalte oder Mindestgehalte nicht einhält, in den Verkehr zu bringen oder in oder auf einem Lebensmittel zu verwenden. Spezifikationen im Sinne des Satzes 1 sind Angaben der Spalte Spezifikation der Tabelle 2 des Anhangs der Durchführungsverordnung (EU) 2017/2470 in den Kategorien</w:t>
      </w:r>
    </w:p>
    <w:p>
      <w:pPr>
        <w:ind w:left="420"/>
      </w:pPr>
      <w:r>
        <w:t xml:space="preserve">1. Spezifikation,</w:t>
      </w:r>
    </w:p>
    <w:p>
      <w:pPr>
        <w:ind w:left="420"/>
      </w:pPr>
      <w:r>
        <w:t xml:space="preserve">2. Beschreibung/Definition,</w:t>
      </w:r>
    </w:p>
    <w:p>
      <w:pPr>
        <w:ind w:left="420"/>
      </w:pPr>
      <w:r>
        <w:t xml:space="preserve">3. Merkmale,</w:t>
      </w:r>
    </w:p>
    <w:p>
      <w:pPr>
        <w:ind w:left="420"/>
      </w:pPr>
      <w:r>
        <w:t xml:space="preserve">4. Merkmale/Zusammensetzung,</w:t>
      </w:r>
    </w:p>
    <w:p>
      <w:pPr>
        <w:ind w:left="420"/>
      </w:pPr>
      <w:r>
        <w:t xml:space="preserve">5. Gehalt,</w:t>
      </w:r>
    </w:p>
    <w:p>
      <w:pPr>
        <w:ind w:left="420"/>
      </w:pPr>
      <w:r>
        <w:t xml:space="preserve">6. Reinheit,</w:t>
      </w:r>
    </w:p>
    <w:p>
      <w:pPr>
        <w:ind w:left="420"/>
      </w:pPr>
      <w:r>
        <w:t xml:space="preserve">7. Verunreinigungen,</w:t>
      </w:r>
    </w:p>
    <w:p>
      <w:pPr>
        <w:ind w:left="420"/>
      </w:pPr>
      <w:r>
        <w:t xml:space="preserve">8. Nährstoffe,</w:t>
      </w:r>
    </w:p>
    <w:p>
      <w:pPr>
        <w:ind w:left="420"/>
      </w:pPr>
      <w:r>
        <w:t xml:space="preserve">9. Kontaminanten,</w:t>
      </w:r>
    </w:p>
    <w:p>
      <w:pPr>
        <w:ind w:left="420"/>
      </w:pPr>
      <w:r>
        <w:t xml:space="preserve">10. Pestizide,</w:t>
      </w:r>
    </w:p>
    <w:p>
      <w:pPr>
        <w:ind w:left="420"/>
      </w:pPr>
      <w:r>
        <w:t xml:space="preserve">11. Schwermetalle,</w:t>
      </w:r>
    </w:p>
    <w:p>
      <w:pPr>
        <w:ind w:left="420"/>
      </w:pPr>
      <w:r>
        <w:t xml:space="preserve">12. Schwermetalle und Halogene,</w:t>
      </w:r>
    </w:p>
    <w:p>
      <w:pPr>
        <w:ind w:left="420"/>
      </w:pPr>
      <w:r>
        <w:t xml:space="preserve">13. Lösungsmittelreste,</w:t>
      </w:r>
    </w:p>
    <w:p>
      <w:pPr>
        <w:ind w:left="420"/>
      </w:pPr>
      <w:r>
        <w:t xml:space="preserve">14. mikrobiologische Kriterien,</w:t>
      </w:r>
    </w:p>
    <w:p>
      <w:pPr>
        <w:ind w:left="420"/>
      </w:pPr>
      <w:r>
        <w:t xml:space="preserve">15. Chemische Parameter,</w:t>
      </w:r>
    </w:p>
    <w:p>
      <w:pPr>
        <w:ind w:left="420"/>
      </w:pPr>
      <w:r>
        <w:t xml:space="preserve">16. Physikalische Parameter,</w:t>
      </w:r>
    </w:p>
    <w:p>
      <w:pPr>
        <w:ind w:left="420"/>
      </w:pPr>
      <w:r>
        <w:t xml:space="preserve">17. Analytische Spezifikationen,</w:t>
      </w:r>
    </w:p>
    <w:p>
      <w:pPr>
        <w:ind w:left="420"/>
      </w:pPr>
      <w:r>
        <w:t xml:space="preserve">18. Zusammensetzung,</w:t>
      </w:r>
    </w:p>
    <w:p>
      <w:pPr>
        <w:ind w:left="420"/>
      </w:pPr>
      <w:r>
        <w:t xml:space="preserve">19. Fettsäurezusammensetzung,</w:t>
      </w:r>
    </w:p>
    <w:p>
      <w:pPr>
        <w:ind w:left="420"/>
      </w:pPr>
      <w:r>
        <w:t xml:space="preserve">20. Zusammensetzung des Oleoresins,</w:t>
      </w:r>
    </w:p>
    <w:p>
      <w:pPr>
        <w:ind w:left="420"/>
      </w:pPr>
      <w:r>
        <w:t xml:space="preserve">21. Physikalisch-chemische Eigenschaften,</w:t>
      </w:r>
    </w:p>
    <w:p>
      <w:pPr>
        <w:ind w:left="420"/>
      </w:pPr>
      <w:r>
        <w:t xml:space="preserve">22. Physikalisch-chemische Eigenschaften von Rinder-Lactoferrin,</w:t>
      </w:r>
    </w:p>
    <w:p>
      <w:pPr>
        <w:ind w:left="420"/>
      </w:pPr>
      <w:r>
        <w:t xml:space="preserve">23. Zusammensetzung der getrockneten Kaffeekirschenpulpe,</w:t>
      </w:r>
    </w:p>
    <w:p>
      <w:pPr>
        <w:ind w:left="420"/>
      </w:pPr>
      <w:r>
        <w:t xml:space="preserve">24. Typische Nährstoffbestandteile geschälter Fonio-Körner,</w:t>
      </w:r>
    </w:p>
    <w:p>
      <w:pPr>
        <w:ind w:left="420"/>
      </w:pPr>
      <w:r>
        <w:t xml:space="preserve">25. Typische Zusammensetzung des Fruchtfleischs der Kakaopflanze und des aus dem Fruchtfleisch gewonnenen Safts oder konzentrierten Safts,</w:t>
      </w:r>
    </w:p>
    <w:p>
      <w:pPr>
        <w:ind w:left="420"/>
      </w:pPr>
      <w:r>
        <w:t xml:space="preserve">26. Acylglycerid-Verteilung,</w:t>
      </w:r>
    </w:p>
    <w:p>
      <w:pPr>
        <w:ind w:left="420"/>
      </w:pPr>
      <w:r>
        <w:t xml:space="preserve">27. Hoodigoside oder</w:t>
      </w:r>
    </w:p>
    <w:p>
      <w:pPr>
        <w:ind w:left="420"/>
      </w:pPr>
      <w:r>
        <w:t xml:space="preserve">28. Sonstiges.</w:t>
      </w:r>
    </w:p>
    <w:p>
      <w:r>
        <w:t xml:space="preserve">Im Übrigen sind auch solche Angaben der Tabelle 2 des Anhangs der Durchführungsverordnung (EU) 2017/2470 Spezifikationen im Sinne des Satzes 1, die nicht bereits durch Satz 2 erfasst sind, die Zusammensetzung betreffen und</w:t>
      </w:r>
    </w:p>
    <w:p>
      <w:pPr>
        <w:ind w:left="420"/>
      </w:pPr>
      <w:r>
        <w:t xml:space="preserve">1. ausgedrückt sind als Verhältnis von einer Einheit im Sinne von § 1 Absatz 1 der Einheitenverordnung zu einer anderen solchen Einheit,</w:t>
      </w:r>
    </w:p>
    <w:p>
      <w:pPr>
        <w:ind w:left="420"/>
      </w:pPr>
      <w:r>
        <w:t xml:space="preserve">2. in Prozent oder ppm ausgedrückt sind oder</w:t>
      </w:r>
    </w:p>
    <w:p>
      <w:pPr>
        <w:ind w:left="420"/>
      </w:pPr>
      <w:r>
        <w:t xml:space="preserve">3. vorschreiben, dass ein bestimmter Stoff nicht oder in einer bestimmten Einheit im Sinne von § 1 Absatz 1 der Einheitenverordnung nicht nachweisbar sein darf.</w:t>
      </w:r>
    </w:p>
    <w:p>
      <w:r>
        <w:rPr>
          <w:color w:val="555555"/>
          <w:sz w:val="17"/>
        </w:rPr>
        <w:t xml:space="preserve">Zitiervorschlag: § 2 NLV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https://recht.nulegal.eu/gesetze/NLV%202018/2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