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NLPosV 2012</w:t>
      </w:r>
    </w:p>
    <w:p>
      <w:r>
        <w:rPr>
          <w:color w:val="555555"/>
          <w:sz w:val="18"/>
        </w:rPr>
        <w:t xml:space="preserve">Netto-Leerverkaufspositionsverordnung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30h Absatz 4 Satz 1 Nummer 1 und Nummer 1a des Wertpapierhandelsgesetzes, der durch Artikel 1 des Gesetzes vom 6. November 2012 (BGBl. I S. 2286) eingefügt worden ist, und in Verbindung mit § 1 Nummer 1 der Verordnung zur Übertragung von Befugnissen zum Erlass von Rechtsverordnungen auf die Bundesanstalt für Finanzdienstleistungsaufsicht, die zuletzt durch Artikel 1 der Verordnung vom 20. November 2012 (BGBl. I S. 2343) geändert worden ist, verordnet die Bundesanstalt für Finanzdienstleistungsaufsicht:</w:t>
      </w:r>
    </w:p>
    <w:p>
      <w:r>
        <w:rPr>
          <w:color w:val="555555"/>
          <w:sz w:val="17"/>
        </w:rPr>
        <w:t xml:space="preserve">Zitiervorschlag: Eingangsformel NLPosV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https://recht.nulegal.eu/gesetze/NLPosV%202012/eingangsformel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