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NLPosV 2012 — Befugnisse der Bundesanstalt gegenüber dem Betreiber des Bundesanzeigers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Hinblick auf die Veröffentlichungen nach Artikel 6 Absatz 1 der Verordnung (EU) Nr. 236/2012 überwacht die Bundesanstalt gegenüber dem Betreiber des Bundesanzeigers die Einhaltung von Mindestqualitätsnormen in Bezug auf</w:t>
      </w:r>
    </w:p>
    <w:p>
      <w:pPr>
        <w:ind w:left="420"/>
      </w:pPr>
      <w:r>
        <w:t xml:space="preserve">1. Datensicherheit,</w:t>
      </w:r>
    </w:p>
    <w:p>
      <w:pPr>
        <w:ind w:left="420"/>
      </w:pPr>
      <w:r>
        <w:t xml:space="preserve">2. Herkunftsgewissheit der Daten,</w:t>
      </w:r>
    </w:p>
    <w:p>
      <w:pPr>
        <w:ind w:left="420"/>
      </w:pPr>
      <w:r>
        <w:t xml:space="preserve">3. Zeitaufzeichnung und</w:t>
      </w:r>
    </w:p>
    <w:p>
      <w:pPr>
        <w:ind w:left="420"/>
      </w:pPr>
      <w:r>
        <w:t xml:space="preserve">4. schnellen Zugang der Endnutzer zu den veröffentlichten Daten.</w:t>
      </w:r>
    </w:p>
    <w:p>
      <w:r>
        <w:t xml:space="preserve">(2) Soweit es für die Überwachung nach Absatz 1 sowie für die Überwachung nach § 53 Absatz 2 Satz 2 des Wertpapierhandelsgesetzes erforderlich ist, kann die Bundesanstalt von dem Betreiber des Bundesanzeigers Auskünfte, die Vorlage von Unterlagen und die Überlassung von Kopien verlangen. Gesetzliche Auskunfts- oder Aussageverweigerungsrechte sowie gesetzliche Verschwiegenheitspflichten bleiben unberührt.</w:t>
      </w:r>
    </w:p>
    <w:p>
      <w:r>
        <w:t xml:space="preserve">(3) Falls der Betreiber des Bundesanzeigers dem berechtigten Verlangen der Bundesanstalt nicht nachkommt, kann diese gegenüber dem Bundesministerium der Justiz und für Verbraucherschutz, das Kontroll- und Aufsichtsbehörde des Bundesanzeigers ist, darauf hinwirken, dass der Betreiber des Bundesanzeigers seine Pflichten erfüllt und die Missstände beseitigt werden.</w:t>
      </w:r>
    </w:p>
    <w:p>
      <w:r>
        <w:rPr>
          <w:color w:val="555555"/>
          <w:sz w:val="17"/>
        </w:rPr>
        <w:t xml:space="preserve">Zitiervorschlag: § 14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