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NLPosV 2012 — Pflichterfüllung bei Einschaltung eines Dritten</w:t>
      </w:r>
    </w:p>
    <w:p>
      <w:r>
        <w:rPr>
          <w:color w:val="555555"/>
          <w:sz w:val="18"/>
        </w:rPr>
        <w:t xml:space="preserve">Netto-Leerverkaufspositionsverordnung</w:t>
      </w:r>
    </w:p>
    <w:p>
      <w:r>
        <w:rPr>
          <w:color w:val="555555"/>
          <w:sz w:val="18"/>
        </w:rPr>
        <w:t xml:space="preserve">Stand: 10.06.2019 (konsolidierte Textfassung, kein amtliches Inkrafttretensdatum)</w:t>
      </w:r>
    </w:p>
    <w:p>
      <w:r>
        <w:t xml:space="preserve">Schaltet ein Positionsinhaber eine meldende Person ein, hat er seine Pflichten erst dann ordnungsgemäß erfüllt, wenn die meldende Person die Mitteilung gegenüber der Bundesanstalt abgegeben und, soweit erforderlich, auch die Veröffentlichung im Bundesanzeiger vollständig und richtig innerhalb der in Artikel 9 Absatz 2 Satz 3 der Verordnung (EU) Nr. 236/2012 vorgeschriebenen Frist vorgenommen hat.</w:t>
      </w:r>
    </w:p>
    <w:p>
      <w:r>
        <w:rPr>
          <w:color w:val="555555"/>
          <w:sz w:val="17"/>
        </w:rPr>
        <w:t xml:space="preserve">Zitiervorschlag: § 13 NLPosV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https://recht.nulegal.eu/gesetze/NLPosV%202012/13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