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NLPosV 2012 — Übermittlung der Daten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Übermittlung der Daten stellt der Betreiber des Bundesanzeigers auf dessen elektronischer Serviceplattform ein Verfahren zur Verfügung, mit dem die Angaben nach § 9 Absatz 1 und 3 sowie die Daten nach Artikel 3 in Verbindung mit dem Anhang I Tabelle 2 der Delegierten Verordnung (EU) Nr. 826/2012 zu übermitteln sind. Felder, die wegen der Art oder Struktur der zu veröffentlichenden Position nicht benötigt werden, bleiben leer.</w:t>
      </w:r>
    </w:p>
    <w:p>
      <w:r>
        <w:t xml:space="preserve">(2) Die Daten können auch im XML-Format übermittelt werden. Der Betreiber des Bundesanzeigers gibt dafür ein Schema vor.</w:t>
      </w:r>
    </w:p>
    <w:p>
      <w:r>
        <w:rPr>
          <w:color w:val="555555"/>
          <w:sz w:val="17"/>
        </w:rPr>
        <w:t xml:space="preserve">Zitiervorschlag: § 10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